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701"/>
      </w:tblGrid>
      <w:tr w:rsidR="000C742A" w:rsidTr="00B110EE">
        <w:tc>
          <w:tcPr>
            <w:tcW w:w="675" w:type="dxa"/>
          </w:tcPr>
          <w:p w:rsidR="000C742A" w:rsidRDefault="000C742A" w:rsidP="00C950F0">
            <w:r>
              <w:t>No</w:t>
            </w:r>
          </w:p>
        </w:tc>
        <w:tc>
          <w:tcPr>
            <w:tcW w:w="3969" w:type="dxa"/>
          </w:tcPr>
          <w:p w:rsidR="000C742A" w:rsidRDefault="000C742A" w:rsidP="00C950F0">
            <w:r>
              <w:t>Title</w:t>
            </w:r>
          </w:p>
        </w:tc>
        <w:tc>
          <w:tcPr>
            <w:tcW w:w="2977" w:type="dxa"/>
          </w:tcPr>
          <w:p w:rsidR="000C742A" w:rsidRDefault="000C742A" w:rsidP="00C950F0">
            <w:proofErr w:type="spellStart"/>
            <w:r>
              <w:t>Authers</w:t>
            </w:r>
            <w:proofErr w:type="spellEnd"/>
          </w:p>
        </w:tc>
        <w:tc>
          <w:tcPr>
            <w:tcW w:w="1701" w:type="dxa"/>
          </w:tcPr>
          <w:p w:rsidR="000C742A" w:rsidRDefault="000C742A" w:rsidP="00C950F0">
            <w:r>
              <w:t>journal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Pr="009F0EFD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Hepatoprotective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effects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silymarin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against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diclofenac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-induced liver toxicity in male rats based on biochemical parameters and histological study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 PHYSIOL BIOCHEM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Pr="009F0EFD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Antioxidant, anti-inflammatory and protective potential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acid against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paraquat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-induced liver toxicity in male rats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Salehi-Vanani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AVICENNA J PHYTOMEDI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Pr="009F0EFD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Quercetin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Synergistically Enhances the Anticancer Efficacy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Docetaxel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through Induction of Apoptosis and Modulation of PI3K/AKT, MAPK/ERK, and JAK/STAT3 Signaling Pathways in MDA-MB-231 Breast Cancer Cell Line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Safi,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J MOL CELL MED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Pr="009F0EFD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QSAR Modeling, Molecular Docking and Molecular Dynamics Simulations Studies of Lysine-Specific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Demethylase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(LSD1) Inhibitors as Anticancer Agents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ANTI-CANCER AGENT ME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Structural investigation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-based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benzenesulfonamides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carbonic anhydrase isoform IX inhibitors endowed with anticancer activity using molecular modeling approaches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Ghatreh-Samani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MOL STRUCT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analysis and identification of antiviral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derivatives against 3-chymotrypsin-like main protease of the novel coronavirus SARS-CoV-2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DIVERS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Inhibition of miR-155-5p in non-small cell lung cancer, a potential target for induction of autophagy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Moayedi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Shojaei-Ghahrizjani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Yaghoobi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 GENE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study of potential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immunonutrient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-based sports supplements against COVID-19 via targeting ACE2 inhibition using molecular docking and molecular dynamics simulations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Banitalebi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Saghaei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Ghahfarrokhi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MM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History of the largest global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biobanks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ethical challenges, registration, and biological samples ownership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Yaghoobi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PUBLIC HEALTH-HEID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levels of IL-32 in patients with coronary artery disease and its relationship with the serum levels of IL-6 and TNF-α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Mohammad-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Rafiei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Khaledifar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Fattahi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Samiei-Sefat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BIOL REP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Ecotypic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Variations Affected the Biological Effectiveness of Thymus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daenensis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Essential Oil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Elahian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Garshasbi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Asiabar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Yazdinezhad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EVID-BASED COMPL ALT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effect of bilirubin on Bad,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pro-apoptotic factors: A molecular dynamic simulation study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 J BIOCHEM BIO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Medicinal plant compounds as promising inhibitors of coronavirus (COVID-19) main protease: an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Soureshjani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-Najaf, M; Clark, CCT;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multifunctional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nano-immunoliposome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design: hypothesis on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therapeutic approach for COVID-19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Abpeikar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Mohseni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TOXICOL ENVIRON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CHEM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Apoptotic Effects of Bilirubin on Skin Cancer Cell Lines SK-MEL-3 (Melanoma) and A431 (Non-Melanoma)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SM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ANTI-CANCER AGENT ME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Insight into molecular characteristics of SARS-CoV-2 spike protein following D614G point mutation, a molecular dynamics study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Gomari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Omidi-Ardali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H; Arab, SS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impacts of C1q/TNF-related protein-15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adiponectin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Interleukin-6 and tumor necrosis factor-α in primary macrophages of patients with coronary artery diseases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Nahrkhalaji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CYTOKINE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the circulating levels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malondialdehyde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patients with obstructive sleep apnea: a systematic review and meta-analysis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R; Safari-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Koushki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Khazaie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BREATH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Reply to comments on Increased the circulating levels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malondialdehyde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patients with obstructive sleep apnea: a systematic review and meta-analysis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R; Safari-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Koushki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Khazaie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BREATH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Correlation between clarithromycin resistance, virulence factors and clinical characteristics of the disease in Helicobacter pylori infected patients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Shahrekord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Southwest Iran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Gholipour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 EXPRESS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Inhibitory Effects of Bilirubin on Colonization and Migration of A431 and SK-MEL-3 Skin Cancer Cells Compared with Human Dermal Fibroblasts (HDF)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Shojaeian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SM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 INVEST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Protective Effect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Ellagic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Acid on Induced Liver Injury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Hatefi-Hesari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Heydari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Bahrami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BRAS FARMACOGN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Carvacrol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exerts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nephroprotective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effect in rat model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diclofenac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-induced renal injury through regulation of oxidative stress and suppression of inflammatory response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Izak-Shirian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Abolfathi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Mirshekari-Jahangiri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HELIYON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Gallic Acid Exerts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Nephroprotective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Anti-Oxidative Stress, and Anti-Inflammatory Effects Against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Diclofenac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-Induced Renal Injury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Malerats</w:t>
            </w:r>
            <w:proofErr w:type="spellEnd"/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Abolfathi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Javadian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Roshanmehr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 MED RES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Beneficial effects of minocycline on the ovary of polycystic ovary syndrome mouse model: Molecular docking analysis and evaluation of TNF- α, TNFR2, TLR-4 gene expression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Khajouei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Ghasemi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REPROD IMMUNOL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 of virulence-associated genotypes of Helicobacter pylori and their correlation with clinical outcome and histological parameters in infected patients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MSS;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Ashrafi-Dehkordi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Y;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Fereidani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Azadegan-Dehkordi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HELIYON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Indoleamine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 3-Dioxygenase expression modulates Th1/Th17/Th22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pathway in humans with Helicobacter Pylori-Infected gastric mucosa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Azadegan-Dehkordi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Shirzad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Bashash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Abdollahpour-Alitappeh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Larussa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Nahid-Samiei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HUM IMMUNOL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Immune checkpoints in targeted-immunotherapy of pancreatic cancer: New hope for clinical development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Heshmati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Jafari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Baradaran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ACTA PHARM SIN B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 mutations in Atoh1 lead to hearing loss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Ajdari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Pourteymourfard-Tabrizi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Ghasemi-Dehkordi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MH; Jami, MS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 REP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Klotho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FOXO1 and cytokines associations in patients with coronary artery disease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Akbari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CYTOKINE</w:t>
            </w:r>
          </w:p>
        </w:tc>
      </w:tr>
      <w:tr w:rsidR="00B110EE" w:rsidRPr="009041A9" w:rsidTr="00B110EE">
        <w:tc>
          <w:tcPr>
            <w:tcW w:w="675" w:type="dxa"/>
          </w:tcPr>
          <w:p w:rsidR="00B110EE" w:rsidRDefault="00B110EE" w:rsidP="00C950F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Autophagy ATG16L1 rs2241880 impacts the colorectal cancer risk: A case-control study</w:t>
            </w:r>
          </w:p>
        </w:tc>
        <w:tc>
          <w:tcPr>
            <w:tcW w:w="2977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Sadeghi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Ghasemi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Mohseni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Nazemalhosseini-Mojarad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Yassaee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Mirfakhraie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  <w:tc>
          <w:tcPr>
            <w:tcW w:w="1701" w:type="dxa"/>
            <w:vAlign w:val="bottom"/>
          </w:tcPr>
          <w:p w:rsidR="00B110EE" w:rsidRDefault="00B11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CLIN LAB ANAL</w:t>
            </w:r>
          </w:p>
        </w:tc>
      </w:tr>
    </w:tbl>
    <w:p w:rsidR="00332F06" w:rsidRDefault="00332F06"/>
    <w:sectPr w:rsidR="00332F06" w:rsidSect="00FF1675">
      <w:headerReference w:type="default" r:id="rId8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DF" w:rsidRDefault="00BC0DDF" w:rsidP="00FF1675">
      <w:pPr>
        <w:spacing w:after="0" w:line="240" w:lineRule="auto"/>
      </w:pPr>
      <w:r>
        <w:separator/>
      </w:r>
    </w:p>
  </w:endnote>
  <w:endnote w:type="continuationSeparator" w:id="0">
    <w:p w:rsidR="00BC0DDF" w:rsidRDefault="00BC0DDF" w:rsidP="00FF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DF" w:rsidRDefault="00BC0DDF" w:rsidP="00FF1675">
      <w:pPr>
        <w:spacing w:after="0" w:line="240" w:lineRule="auto"/>
      </w:pPr>
      <w:r>
        <w:separator/>
      </w:r>
    </w:p>
  </w:footnote>
  <w:footnote w:type="continuationSeparator" w:id="0">
    <w:p w:rsidR="00BC0DDF" w:rsidRDefault="00BC0DDF" w:rsidP="00FF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75" w:rsidRPr="00FF1675" w:rsidRDefault="00FF1675" w:rsidP="00FF1675">
    <w:pPr>
      <w:pStyle w:val="Header"/>
      <w:jc w:val="right"/>
      <w:rPr>
        <w:rFonts w:hint="cs"/>
        <w:sz w:val="28"/>
        <w:szCs w:val="28"/>
        <w:rtl/>
        <w:lang w:bidi="fa-IR"/>
      </w:rPr>
    </w:pPr>
    <w:r w:rsidRPr="00FF1675">
      <w:rPr>
        <w:rFonts w:hint="cs"/>
        <w:sz w:val="28"/>
        <w:szCs w:val="28"/>
        <w:rtl/>
        <w:lang w:bidi="fa-IR"/>
      </w:rPr>
      <w:t>مقالات سال 1400 مرکز تحقیقات بیوشیمی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2A"/>
    <w:rsid w:val="000C742A"/>
    <w:rsid w:val="00332F06"/>
    <w:rsid w:val="00B110EE"/>
    <w:rsid w:val="00BC0DDF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C74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75"/>
  </w:style>
  <w:style w:type="paragraph" w:styleId="Footer">
    <w:name w:val="footer"/>
    <w:basedOn w:val="Normal"/>
    <w:link w:val="FooterChar"/>
    <w:uiPriority w:val="99"/>
    <w:unhideWhenUsed/>
    <w:rsid w:val="00FF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C74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75"/>
  </w:style>
  <w:style w:type="paragraph" w:styleId="Footer">
    <w:name w:val="footer"/>
    <w:basedOn w:val="Normal"/>
    <w:link w:val="FooterChar"/>
    <w:uiPriority w:val="99"/>
    <w:unhideWhenUsed/>
    <w:rsid w:val="00FF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EFC8-5DAD-4DB6-ACA0-5910B48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4</cp:revision>
  <dcterms:created xsi:type="dcterms:W3CDTF">2024-09-18T06:56:00Z</dcterms:created>
  <dcterms:modified xsi:type="dcterms:W3CDTF">2024-09-18T07:27:00Z</dcterms:modified>
</cp:coreProperties>
</file>